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5" w:type="dxa"/>
        <w:tblLayout w:type="fixed"/>
        <w:tblLook w:val="04A0" w:firstRow="1" w:lastRow="0" w:firstColumn="1" w:lastColumn="0" w:noHBand="0" w:noVBand="1"/>
      </w:tblPr>
      <w:tblGrid>
        <w:gridCol w:w="1134"/>
        <w:gridCol w:w="8931"/>
      </w:tblGrid>
      <w:tr w:rsidR="008511AF" w:rsidTr="00CD273D">
        <w:trPr>
          <w:trHeight w:val="9410"/>
        </w:trPr>
        <w:tc>
          <w:tcPr>
            <w:tcW w:w="1134" w:type="dxa"/>
            <w:tcBorders>
              <w:top w:val="nil"/>
              <w:left w:val="nil"/>
              <w:bottom w:val="nil"/>
              <w:right w:val="nil"/>
            </w:tcBorders>
          </w:tcPr>
          <w:p w:rsidR="00170639" w:rsidRDefault="00170639" w:rsidP="00DF20EA">
            <w:pPr>
              <w:jc w:val="both"/>
              <w:rPr>
                <w:b/>
                <w:sz w:val="24"/>
                <w:szCs w:val="24"/>
              </w:rPr>
            </w:pPr>
          </w:p>
          <w:p w:rsidR="00170639" w:rsidRDefault="00170639" w:rsidP="00DF20EA">
            <w:pPr>
              <w:jc w:val="both"/>
              <w:rPr>
                <w:b/>
                <w:sz w:val="24"/>
                <w:szCs w:val="24"/>
              </w:rPr>
            </w:pPr>
          </w:p>
          <w:p w:rsidR="00505C75" w:rsidRDefault="00505C75" w:rsidP="00DF20EA">
            <w:pPr>
              <w:jc w:val="both"/>
              <w:rPr>
                <w:b/>
                <w:sz w:val="24"/>
                <w:szCs w:val="24"/>
              </w:rPr>
            </w:pPr>
          </w:p>
          <w:p w:rsidR="00505C75" w:rsidRDefault="00505C75" w:rsidP="00DF20EA">
            <w:pPr>
              <w:jc w:val="both"/>
              <w:rPr>
                <w:b/>
                <w:sz w:val="24"/>
                <w:szCs w:val="24"/>
              </w:rPr>
            </w:pPr>
          </w:p>
          <w:p w:rsidR="00CD5060" w:rsidRDefault="00CD5060" w:rsidP="00DF20EA">
            <w:pPr>
              <w:jc w:val="both"/>
              <w:rPr>
                <w:b/>
                <w:sz w:val="24"/>
                <w:szCs w:val="24"/>
              </w:rPr>
            </w:pPr>
          </w:p>
          <w:p w:rsidR="00CD5060" w:rsidRDefault="00CD5060" w:rsidP="00DF20EA">
            <w:pPr>
              <w:jc w:val="both"/>
              <w:rPr>
                <w:b/>
                <w:sz w:val="24"/>
                <w:szCs w:val="24"/>
              </w:rPr>
            </w:pPr>
          </w:p>
          <w:p w:rsidR="00CD5060" w:rsidRDefault="00CD5060" w:rsidP="00DF20EA">
            <w:pPr>
              <w:jc w:val="both"/>
              <w:rPr>
                <w:b/>
                <w:sz w:val="24"/>
                <w:szCs w:val="24"/>
              </w:rPr>
            </w:pPr>
          </w:p>
          <w:p w:rsidR="00505C75" w:rsidRDefault="00505C75" w:rsidP="00DF20EA">
            <w:pPr>
              <w:jc w:val="both"/>
              <w:rPr>
                <w:b/>
                <w:sz w:val="24"/>
                <w:szCs w:val="24"/>
              </w:rPr>
            </w:pPr>
          </w:p>
          <w:p w:rsidR="00170639" w:rsidRDefault="000126A2" w:rsidP="00DF20EA">
            <w:pPr>
              <w:jc w:val="both"/>
              <w:rPr>
                <w:b/>
                <w:sz w:val="24"/>
                <w:szCs w:val="24"/>
              </w:rPr>
            </w:pPr>
            <w:r>
              <w:rPr>
                <w:noProof/>
                <w:lang w:eastAsia="es-ES"/>
              </w:rPr>
              <w:drawing>
                <wp:inline distT="0" distB="0" distL="0" distR="0" wp14:anchorId="0FD98484" wp14:editId="26BD6B9C">
                  <wp:extent cx="3980952" cy="714286"/>
                  <wp:effectExtent l="0" t="4762"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980952" cy="714286"/>
                          </a:xfrm>
                          <a:prstGeom prst="rect">
                            <a:avLst/>
                          </a:prstGeom>
                        </pic:spPr>
                      </pic:pic>
                    </a:graphicData>
                  </a:graphic>
                </wp:inline>
              </w:drawing>
            </w:r>
          </w:p>
        </w:tc>
        <w:tc>
          <w:tcPr>
            <w:tcW w:w="8931" w:type="dxa"/>
            <w:tcBorders>
              <w:top w:val="nil"/>
              <w:left w:val="nil"/>
              <w:bottom w:val="nil"/>
              <w:right w:val="nil"/>
            </w:tcBorders>
          </w:tcPr>
          <w:p w:rsidR="00A62A47" w:rsidRPr="008206F5" w:rsidRDefault="00A62A47" w:rsidP="00BE34F7">
            <w:pPr>
              <w:ind w:right="567"/>
              <w:jc w:val="both"/>
              <w:rPr>
                <w:b/>
                <w:sz w:val="10"/>
                <w:szCs w:val="10"/>
              </w:rPr>
            </w:pPr>
          </w:p>
          <w:p w:rsidR="00234511" w:rsidRDefault="00234511" w:rsidP="00234511">
            <w:pPr>
              <w:jc w:val="center"/>
              <w:rPr>
                <w:b/>
                <w:sz w:val="44"/>
                <w:szCs w:val="24"/>
              </w:rPr>
            </w:pPr>
            <w:r>
              <w:rPr>
                <w:b/>
                <w:sz w:val="44"/>
                <w:szCs w:val="24"/>
              </w:rPr>
              <w:t>La Comisión de Turismo pide al Gobierno medidas de dinamización del sector ante el impacto del coronavirus</w:t>
            </w:r>
          </w:p>
          <w:p w:rsidR="00234511" w:rsidRPr="00EB4ECB" w:rsidRDefault="00234511" w:rsidP="00234511">
            <w:pPr>
              <w:jc w:val="center"/>
              <w:rPr>
                <w:sz w:val="24"/>
                <w:szCs w:val="24"/>
              </w:rPr>
            </w:pPr>
          </w:p>
          <w:p w:rsidR="00234511" w:rsidRPr="00F432BC" w:rsidRDefault="00234511" w:rsidP="00234511">
            <w:pPr>
              <w:pStyle w:val="Prrafodelista"/>
              <w:rPr>
                <w:sz w:val="24"/>
                <w:szCs w:val="24"/>
              </w:rPr>
            </w:pPr>
          </w:p>
          <w:p w:rsidR="0050439D" w:rsidRDefault="00234511" w:rsidP="0050439D">
            <w:pPr>
              <w:jc w:val="both"/>
              <w:rPr>
                <w:sz w:val="24"/>
                <w:szCs w:val="24"/>
              </w:rPr>
            </w:pPr>
            <w:r w:rsidRPr="00F86239">
              <w:rPr>
                <w:b/>
                <w:sz w:val="24"/>
                <w:szCs w:val="24"/>
              </w:rPr>
              <w:t>Madrid</w:t>
            </w:r>
            <w:r w:rsidRPr="00F86239">
              <w:rPr>
                <w:b/>
                <w:color w:val="000000" w:themeColor="text1"/>
                <w:sz w:val="24"/>
                <w:szCs w:val="24"/>
              </w:rPr>
              <w:t xml:space="preserve">, </w:t>
            </w:r>
            <w:r>
              <w:rPr>
                <w:b/>
                <w:color w:val="000000" w:themeColor="text1"/>
                <w:sz w:val="24"/>
                <w:szCs w:val="24"/>
              </w:rPr>
              <w:t>4/03/2020</w:t>
            </w:r>
            <w:r w:rsidRPr="000253AB">
              <w:rPr>
                <w:sz w:val="24"/>
                <w:szCs w:val="24"/>
              </w:rPr>
              <w:t xml:space="preserve">.- </w:t>
            </w:r>
            <w:r>
              <w:rPr>
                <w:sz w:val="24"/>
                <w:szCs w:val="24"/>
              </w:rPr>
              <w:t>La Comisión de Turismo de la Cámara de Comercio de España ha abordado</w:t>
            </w:r>
            <w:r w:rsidR="00655843">
              <w:rPr>
                <w:sz w:val="24"/>
                <w:szCs w:val="24"/>
              </w:rPr>
              <w:t xml:space="preserve"> con carácter monográfico </w:t>
            </w:r>
            <w:r>
              <w:rPr>
                <w:sz w:val="24"/>
                <w:szCs w:val="24"/>
              </w:rPr>
              <w:t>en su sesión</w:t>
            </w:r>
            <w:r w:rsidR="00655843">
              <w:rPr>
                <w:sz w:val="24"/>
                <w:szCs w:val="24"/>
              </w:rPr>
              <w:t xml:space="preserve"> de hoy</w:t>
            </w:r>
            <w:r>
              <w:rPr>
                <w:sz w:val="24"/>
                <w:szCs w:val="24"/>
              </w:rPr>
              <w:t xml:space="preserve"> el impacto que el virus COVID-19 está generando en el sector y ha solicitado al Gobierno medidas de dinamización para contrarrestar su impacto. La Comisión </w:t>
            </w:r>
            <w:r w:rsidR="0050439D">
              <w:rPr>
                <w:sz w:val="24"/>
                <w:szCs w:val="24"/>
              </w:rPr>
              <w:t>considera la situación preocupante, pero cree que con la adopción de medidas puede mitigarse el efecto sob</w:t>
            </w:r>
            <w:r w:rsidR="00655843">
              <w:rPr>
                <w:sz w:val="24"/>
                <w:szCs w:val="24"/>
              </w:rPr>
              <w:t xml:space="preserve">re la actividad de las empresas y sobre los propios turistas. </w:t>
            </w:r>
            <w:r w:rsidR="0050439D">
              <w:rPr>
                <w:sz w:val="24"/>
                <w:szCs w:val="24"/>
              </w:rPr>
              <w:t xml:space="preserve"> </w:t>
            </w:r>
          </w:p>
          <w:p w:rsidR="00A87CE9" w:rsidRDefault="00A87CE9" w:rsidP="0050439D">
            <w:pPr>
              <w:jc w:val="both"/>
              <w:rPr>
                <w:sz w:val="24"/>
                <w:szCs w:val="24"/>
              </w:rPr>
            </w:pPr>
          </w:p>
          <w:p w:rsidR="00A87CE9" w:rsidRDefault="00A87CE9" w:rsidP="0050439D">
            <w:pPr>
              <w:jc w:val="both"/>
              <w:rPr>
                <w:sz w:val="24"/>
                <w:szCs w:val="24"/>
              </w:rPr>
            </w:pPr>
            <w:r>
              <w:rPr>
                <w:sz w:val="24"/>
                <w:szCs w:val="24"/>
              </w:rPr>
              <w:t xml:space="preserve">Al mismo tiempo, se rechazado expresamente cualquier actuación que pueda penalizar o influir negativamente en la actividad de las empresas en este momento, particularmente la creación de nuevos impuestos o tasas u otras medidas que afecten al turismo y al comercio.  </w:t>
            </w:r>
          </w:p>
          <w:p w:rsidR="0050439D" w:rsidRDefault="0050439D" w:rsidP="0050439D">
            <w:pPr>
              <w:jc w:val="both"/>
              <w:rPr>
                <w:sz w:val="24"/>
                <w:szCs w:val="24"/>
              </w:rPr>
            </w:pPr>
          </w:p>
          <w:p w:rsidR="00234511" w:rsidRDefault="0050439D" w:rsidP="00234511">
            <w:pPr>
              <w:jc w:val="both"/>
              <w:rPr>
                <w:sz w:val="24"/>
                <w:szCs w:val="24"/>
              </w:rPr>
            </w:pPr>
            <w:r>
              <w:rPr>
                <w:sz w:val="24"/>
                <w:szCs w:val="24"/>
              </w:rPr>
              <w:t xml:space="preserve">Durante el encuentro se ha acordado solicitar </w:t>
            </w:r>
            <w:r w:rsidR="00655843">
              <w:rPr>
                <w:sz w:val="24"/>
                <w:szCs w:val="24"/>
              </w:rPr>
              <w:t xml:space="preserve">al Gobierno la puesta en marcha de </w:t>
            </w:r>
            <w:r>
              <w:rPr>
                <w:sz w:val="24"/>
                <w:szCs w:val="24"/>
              </w:rPr>
              <w:t>medidas de impulso al sector</w:t>
            </w:r>
            <w:r w:rsidR="00655843">
              <w:rPr>
                <w:sz w:val="24"/>
                <w:szCs w:val="24"/>
              </w:rPr>
              <w:t xml:space="preserve"> de carácter fiscal, laboral, financiero y administrativo</w:t>
            </w:r>
            <w:r>
              <w:rPr>
                <w:sz w:val="24"/>
                <w:szCs w:val="24"/>
              </w:rPr>
              <w:t xml:space="preserve"> que sirvan para reactivarlo y promover la activida</w:t>
            </w:r>
            <w:r w:rsidR="00655843">
              <w:rPr>
                <w:sz w:val="24"/>
                <w:szCs w:val="24"/>
              </w:rPr>
              <w:t>d, particularmente en las zonas que se han visto más afectadas. En concreto,</w:t>
            </w:r>
            <w:r>
              <w:rPr>
                <w:sz w:val="24"/>
                <w:szCs w:val="24"/>
              </w:rPr>
              <w:t xml:space="preserve"> se solicita a la </w:t>
            </w:r>
            <w:r w:rsidR="00234511">
              <w:rPr>
                <w:sz w:val="24"/>
                <w:szCs w:val="24"/>
              </w:rPr>
              <w:t>Administración General del Estado</w:t>
            </w:r>
            <w:r w:rsidR="00655843">
              <w:rPr>
                <w:sz w:val="24"/>
                <w:szCs w:val="24"/>
              </w:rPr>
              <w:t xml:space="preserve"> la aplicación de </w:t>
            </w:r>
            <w:r>
              <w:rPr>
                <w:sz w:val="24"/>
                <w:szCs w:val="24"/>
              </w:rPr>
              <w:t xml:space="preserve">las siguientes </w:t>
            </w:r>
            <w:r w:rsidR="00655843">
              <w:rPr>
                <w:sz w:val="24"/>
                <w:szCs w:val="24"/>
              </w:rPr>
              <w:t>medidas</w:t>
            </w:r>
            <w:r>
              <w:rPr>
                <w:sz w:val="24"/>
                <w:szCs w:val="24"/>
              </w:rPr>
              <w:t>:</w:t>
            </w:r>
            <w:r w:rsidR="00234511">
              <w:rPr>
                <w:sz w:val="24"/>
                <w:szCs w:val="24"/>
              </w:rPr>
              <w:t xml:space="preserve"> </w:t>
            </w:r>
          </w:p>
          <w:p w:rsidR="00234511" w:rsidRDefault="00234511" w:rsidP="00234511">
            <w:pPr>
              <w:jc w:val="both"/>
              <w:rPr>
                <w:sz w:val="24"/>
                <w:szCs w:val="24"/>
              </w:rPr>
            </w:pPr>
          </w:p>
          <w:p w:rsidR="00D85840" w:rsidRDefault="00B64441" w:rsidP="00DA288F">
            <w:pPr>
              <w:pStyle w:val="Prrafodelista"/>
              <w:numPr>
                <w:ilvl w:val="0"/>
                <w:numId w:val="9"/>
              </w:numPr>
              <w:jc w:val="both"/>
              <w:rPr>
                <w:sz w:val="24"/>
                <w:szCs w:val="24"/>
              </w:rPr>
            </w:pPr>
            <w:r>
              <w:rPr>
                <w:sz w:val="24"/>
                <w:szCs w:val="24"/>
              </w:rPr>
              <w:t xml:space="preserve">Dotar temporalmente de mayor flexibilidad a las empresas en los ámbitos fiscal y laboral para que puedan afrontar con éxito el impacto del coronavirus </w:t>
            </w:r>
          </w:p>
          <w:p w:rsidR="00B64441" w:rsidRDefault="00B64441" w:rsidP="00DA288F">
            <w:pPr>
              <w:pStyle w:val="Prrafodelista"/>
              <w:numPr>
                <w:ilvl w:val="0"/>
                <w:numId w:val="9"/>
              </w:numPr>
              <w:jc w:val="both"/>
              <w:rPr>
                <w:sz w:val="24"/>
                <w:szCs w:val="24"/>
              </w:rPr>
            </w:pPr>
            <w:r>
              <w:rPr>
                <w:sz w:val="24"/>
                <w:szCs w:val="24"/>
              </w:rPr>
              <w:t>Promover líneas de financiación ágiles y favorables que permitan a las empresas hacer frente a las tensiones de caja que están experimentando, particularmente las pymes</w:t>
            </w:r>
          </w:p>
          <w:p w:rsidR="00DA288F" w:rsidRPr="00DA288F" w:rsidRDefault="00DA288F" w:rsidP="00DA288F">
            <w:pPr>
              <w:pStyle w:val="Prrafodelista"/>
              <w:numPr>
                <w:ilvl w:val="0"/>
                <w:numId w:val="9"/>
              </w:numPr>
              <w:jc w:val="both"/>
              <w:rPr>
                <w:sz w:val="24"/>
                <w:szCs w:val="24"/>
              </w:rPr>
            </w:pPr>
            <w:r>
              <w:rPr>
                <w:sz w:val="24"/>
                <w:szCs w:val="24"/>
              </w:rPr>
              <w:t>E</w:t>
            </w:r>
            <w:r w:rsidRPr="00934EAD">
              <w:rPr>
                <w:sz w:val="24"/>
                <w:szCs w:val="24"/>
              </w:rPr>
              <w:t>labora</w:t>
            </w:r>
            <w:r>
              <w:rPr>
                <w:sz w:val="24"/>
                <w:szCs w:val="24"/>
              </w:rPr>
              <w:t xml:space="preserve">r </w:t>
            </w:r>
            <w:r w:rsidRPr="00934EAD">
              <w:rPr>
                <w:sz w:val="24"/>
                <w:szCs w:val="24"/>
              </w:rPr>
              <w:t>protocolos de actuación homogéneos para todos los operadores</w:t>
            </w:r>
          </w:p>
          <w:p w:rsidR="00DA288F" w:rsidRDefault="00234511" w:rsidP="00234511">
            <w:pPr>
              <w:pStyle w:val="Prrafodelista"/>
              <w:numPr>
                <w:ilvl w:val="0"/>
                <w:numId w:val="9"/>
              </w:numPr>
              <w:jc w:val="both"/>
              <w:rPr>
                <w:sz w:val="24"/>
                <w:szCs w:val="24"/>
              </w:rPr>
            </w:pPr>
            <w:r>
              <w:rPr>
                <w:sz w:val="24"/>
                <w:szCs w:val="24"/>
              </w:rPr>
              <w:t>Reforzar la c</w:t>
            </w:r>
            <w:r w:rsidRPr="00934EAD">
              <w:rPr>
                <w:sz w:val="24"/>
                <w:szCs w:val="24"/>
              </w:rPr>
              <w:t xml:space="preserve">oordinación </w:t>
            </w:r>
            <w:r w:rsidR="00DA288F">
              <w:rPr>
                <w:sz w:val="24"/>
                <w:szCs w:val="24"/>
              </w:rPr>
              <w:t>en</w:t>
            </w:r>
            <w:r w:rsidRPr="00934EAD">
              <w:rPr>
                <w:sz w:val="24"/>
                <w:szCs w:val="24"/>
              </w:rPr>
              <w:t xml:space="preserve"> las actuaci</w:t>
            </w:r>
            <w:r w:rsidR="00655843">
              <w:rPr>
                <w:sz w:val="24"/>
                <w:szCs w:val="24"/>
              </w:rPr>
              <w:t xml:space="preserve">ones a nivel interministerial, </w:t>
            </w:r>
            <w:r w:rsidR="00DA288F">
              <w:rPr>
                <w:sz w:val="24"/>
                <w:szCs w:val="24"/>
              </w:rPr>
              <w:t xml:space="preserve">autonómico y municipal, así como </w:t>
            </w:r>
            <w:r w:rsidR="00655843">
              <w:rPr>
                <w:sz w:val="24"/>
                <w:szCs w:val="24"/>
              </w:rPr>
              <w:t>con el sector para dar una respuesta uniforme a las incidencias</w:t>
            </w:r>
          </w:p>
          <w:p w:rsidR="00DA288F" w:rsidRDefault="00DA288F" w:rsidP="00DA288F">
            <w:pPr>
              <w:pStyle w:val="Prrafodelista"/>
              <w:numPr>
                <w:ilvl w:val="0"/>
                <w:numId w:val="9"/>
              </w:numPr>
              <w:jc w:val="both"/>
              <w:rPr>
                <w:sz w:val="24"/>
                <w:szCs w:val="24"/>
              </w:rPr>
            </w:pPr>
            <w:r>
              <w:rPr>
                <w:sz w:val="24"/>
                <w:szCs w:val="24"/>
              </w:rPr>
              <w:t>Garantizar la proporcionalidad de las medidas en función del riesgo</w:t>
            </w:r>
          </w:p>
          <w:p w:rsidR="00234511" w:rsidRDefault="00DA288F" w:rsidP="00234511">
            <w:pPr>
              <w:pStyle w:val="Prrafodelista"/>
              <w:numPr>
                <w:ilvl w:val="0"/>
                <w:numId w:val="9"/>
              </w:numPr>
              <w:jc w:val="both"/>
              <w:rPr>
                <w:sz w:val="24"/>
                <w:szCs w:val="24"/>
              </w:rPr>
            </w:pPr>
            <w:r>
              <w:rPr>
                <w:sz w:val="24"/>
                <w:szCs w:val="24"/>
              </w:rPr>
              <w:t>Dar i</w:t>
            </w:r>
            <w:r w:rsidR="00234511" w:rsidRPr="00934EAD">
              <w:rPr>
                <w:sz w:val="24"/>
                <w:szCs w:val="24"/>
              </w:rPr>
              <w:t xml:space="preserve">nformación rigurosa, veraz y contrastada para evitar </w:t>
            </w:r>
            <w:r>
              <w:rPr>
                <w:sz w:val="24"/>
                <w:szCs w:val="24"/>
              </w:rPr>
              <w:t xml:space="preserve">sobrerreacción por parte de </w:t>
            </w:r>
            <w:r w:rsidR="00234511" w:rsidRPr="00934EAD">
              <w:rPr>
                <w:sz w:val="24"/>
                <w:szCs w:val="24"/>
              </w:rPr>
              <w:t>turistas nacionales e internacionales</w:t>
            </w:r>
          </w:p>
          <w:p w:rsidR="00DA288F" w:rsidRDefault="00DA288F" w:rsidP="00655843">
            <w:pPr>
              <w:pStyle w:val="Prrafodelista"/>
              <w:numPr>
                <w:ilvl w:val="0"/>
                <w:numId w:val="9"/>
              </w:numPr>
              <w:jc w:val="both"/>
              <w:rPr>
                <w:sz w:val="24"/>
                <w:szCs w:val="24"/>
              </w:rPr>
            </w:pPr>
            <w:r>
              <w:rPr>
                <w:sz w:val="24"/>
                <w:szCs w:val="24"/>
              </w:rPr>
              <w:t>Lanzar una</w:t>
            </w:r>
            <w:r w:rsidR="00655843">
              <w:rPr>
                <w:sz w:val="24"/>
                <w:szCs w:val="24"/>
              </w:rPr>
              <w:t xml:space="preserve"> campaña </w:t>
            </w:r>
            <w:r>
              <w:rPr>
                <w:sz w:val="24"/>
                <w:szCs w:val="24"/>
              </w:rPr>
              <w:t xml:space="preserve">específica </w:t>
            </w:r>
            <w:r w:rsidR="00655843">
              <w:rPr>
                <w:sz w:val="24"/>
                <w:szCs w:val="24"/>
              </w:rPr>
              <w:t>de promoción que refuerce la imagen de España como destino turístico seguro y con un sistema de salud eficaz</w:t>
            </w:r>
          </w:p>
          <w:p w:rsidR="00D85840" w:rsidRPr="00D85840" w:rsidRDefault="00DA288F" w:rsidP="00D85840">
            <w:pPr>
              <w:pStyle w:val="Prrafodelista"/>
              <w:numPr>
                <w:ilvl w:val="0"/>
                <w:numId w:val="9"/>
              </w:numPr>
              <w:jc w:val="both"/>
              <w:rPr>
                <w:sz w:val="24"/>
                <w:szCs w:val="24"/>
              </w:rPr>
            </w:pPr>
            <w:r>
              <w:rPr>
                <w:sz w:val="24"/>
                <w:szCs w:val="24"/>
              </w:rPr>
              <w:t xml:space="preserve">Elaborar igualmente un plan de actuación adicional en el ámbito de la promoción para su puesta en marcha tan pronto como </w:t>
            </w:r>
            <w:r w:rsidR="00D85840">
              <w:rPr>
                <w:sz w:val="24"/>
                <w:szCs w:val="24"/>
              </w:rPr>
              <w:t>se produzcan los primeros signos de recuperación. El plan deberá prestar especial atención al turismo de largo radio dada su correlación con el crecimiento del gasto turístico en España</w:t>
            </w:r>
          </w:p>
          <w:p w:rsidR="00234511" w:rsidRDefault="00DA288F" w:rsidP="00234511">
            <w:pPr>
              <w:pStyle w:val="Prrafodelista"/>
              <w:numPr>
                <w:ilvl w:val="0"/>
                <w:numId w:val="9"/>
              </w:numPr>
              <w:jc w:val="both"/>
              <w:rPr>
                <w:sz w:val="24"/>
                <w:szCs w:val="24"/>
              </w:rPr>
            </w:pPr>
            <w:r>
              <w:rPr>
                <w:sz w:val="24"/>
                <w:szCs w:val="24"/>
              </w:rPr>
              <w:t>Impartir f</w:t>
            </w:r>
            <w:r w:rsidR="00234511" w:rsidRPr="00934EAD">
              <w:rPr>
                <w:sz w:val="24"/>
                <w:szCs w:val="24"/>
              </w:rPr>
              <w:t xml:space="preserve">ormación a los profesionales del sector para poder reaccionar adecuadamente a este tipo de situaciones  </w:t>
            </w:r>
          </w:p>
          <w:p w:rsidR="00CF3983" w:rsidRDefault="00DA288F" w:rsidP="00234511">
            <w:pPr>
              <w:pStyle w:val="Prrafodelista"/>
              <w:numPr>
                <w:ilvl w:val="0"/>
                <w:numId w:val="9"/>
              </w:numPr>
              <w:jc w:val="both"/>
              <w:rPr>
                <w:sz w:val="24"/>
                <w:szCs w:val="24"/>
              </w:rPr>
            </w:pPr>
            <w:r>
              <w:rPr>
                <w:sz w:val="24"/>
                <w:szCs w:val="24"/>
              </w:rPr>
              <w:t>Asegurar un f</w:t>
            </w:r>
            <w:r w:rsidR="00944622">
              <w:rPr>
                <w:sz w:val="24"/>
                <w:szCs w:val="24"/>
              </w:rPr>
              <w:t>lujo de c</w:t>
            </w:r>
            <w:r w:rsidR="00CF3983">
              <w:rPr>
                <w:sz w:val="24"/>
                <w:szCs w:val="24"/>
              </w:rPr>
              <w:t xml:space="preserve">omunicación permanente </w:t>
            </w:r>
            <w:r w:rsidR="00944622">
              <w:rPr>
                <w:sz w:val="24"/>
                <w:szCs w:val="24"/>
              </w:rPr>
              <w:t xml:space="preserve">entre el sector y </w:t>
            </w:r>
            <w:r w:rsidR="00CF3983">
              <w:rPr>
                <w:sz w:val="24"/>
                <w:szCs w:val="24"/>
              </w:rPr>
              <w:t xml:space="preserve">el Gobierno para </w:t>
            </w:r>
            <w:r w:rsidR="00944622">
              <w:rPr>
                <w:sz w:val="24"/>
                <w:szCs w:val="24"/>
              </w:rPr>
              <w:t>tratar y dar respuesta a</w:t>
            </w:r>
            <w:r w:rsidR="00CF3983">
              <w:rPr>
                <w:sz w:val="24"/>
                <w:szCs w:val="24"/>
              </w:rPr>
              <w:t xml:space="preserve"> la problemáti</w:t>
            </w:r>
            <w:r w:rsidR="00944622">
              <w:rPr>
                <w:sz w:val="24"/>
                <w:szCs w:val="24"/>
              </w:rPr>
              <w:t>ca vinculada con esta situación</w:t>
            </w:r>
          </w:p>
          <w:p w:rsidR="00234511" w:rsidRDefault="00234511" w:rsidP="00234511">
            <w:pPr>
              <w:jc w:val="both"/>
              <w:rPr>
                <w:sz w:val="24"/>
                <w:szCs w:val="24"/>
              </w:rPr>
            </w:pPr>
          </w:p>
          <w:p w:rsidR="00234511" w:rsidRDefault="00234511" w:rsidP="00234511">
            <w:pPr>
              <w:jc w:val="both"/>
              <w:rPr>
                <w:sz w:val="24"/>
                <w:szCs w:val="24"/>
              </w:rPr>
            </w:pPr>
          </w:p>
          <w:p w:rsidR="00234511" w:rsidRDefault="00234511" w:rsidP="00234511">
            <w:pPr>
              <w:jc w:val="both"/>
              <w:rPr>
                <w:sz w:val="24"/>
                <w:szCs w:val="24"/>
              </w:rPr>
            </w:pPr>
          </w:p>
          <w:p w:rsidR="00234511" w:rsidRDefault="00234511" w:rsidP="00234511">
            <w:pPr>
              <w:jc w:val="both"/>
              <w:rPr>
                <w:sz w:val="24"/>
                <w:szCs w:val="24"/>
              </w:rPr>
            </w:pPr>
            <w:r>
              <w:rPr>
                <w:sz w:val="24"/>
                <w:szCs w:val="24"/>
              </w:rPr>
              <w:t xml:space="preserve">Desde la Comisión de Turismo se expresa la confianza en la solidez de la industria turística, uno de los principales motores de la economía española en términos de aportación al PIB, creación de </w:t>
            </w:r>
            <w:r w:rsidR="00D85840">
              <w:rPr>
                <w:sz w:val="24"/>
                <w:szCs w:val="24"/>
              </w:rPr>
              <w:t>empleo y generación de riqueza, así como en nuestro sistema sanitario</w:t>
            </w:r>
            <w:r w:rsidR="00B64441">
              <w:rPr>
                <w:sz w:val="24"/>
                <w:szCs w:val="24"/>
              </w:rPr>
              <w:t xml:space="preserve"> y sus profesionales</w:t>
            </w:r>
            <w:r w:rsidR="00D85840">
              <w:rPr>
                <w:sz w:val="24"/>
                <w:szCs w:val="24"/>
              </w:rPr>
              <w:t xml:space="preserve">, comparable a los mejores del mundo y capacitado para afrontar esta situación. </w:t>
            </w:r>
          </w:p>
          <w:p w:rsidR="00234511" w:rsidRDefault="00234511" w:rsidP="00234511">
            <w:pPr>
              <w:jc w:val="both"/>
              <w:rPr>
                <w:b/>
                <w:sz w:val="24"/>
                <w:szCs w:val="24"/>
              </w:rPr>
            </w:pPr>
          </w:p>
          <w:p w:rsidR="00234511" w:rsidRDefault="00234511" w:rsidP="00234511">
            <w:pPr>
              <w:jc w:val="both"/>
              <w:rPr>
                <w:b/>
                <w:sz w:val="24"/>
                <w:szCs w:val="24"/>
              </w:rPr>
            </w:pPr>
            <w:r>
              <w:rPr>
                <w:b/>
                <w:sz w:val="24"/>
                <w:szCs w:val="24"/>
              </w:rPr>
              <w:t>Comisión de Turismo de la Cámara de España</w:t>
            </w:r>
          </w:p>
          <w:p w:rsidR="00234511" w:rsidRDefault="00A87CE9" w:rsidP="0050439D">
            <w:pPr>
              <w:jc w:val="both"/>
              <w:rPr>
                <w:rFonts w:eastAsia="Times New Roman" w:cstheme="minorHAnsi"/>
                <w:sz w:val="24"/>
                <w:szCs w:val="24"/>
                <w:lang w:eastAsia="es-ES"/>
              </w:rPr>
            </w:pPr>
            <w:r>
              <w:rPr>
                <w:rFonts w:eastAsia="Times New Roman" w:cstheme="minorHAnsi"/>
                <w:sz w:val="24"/>
                <w:szCs w:val="24"/>
                <w:lang w:eastAsia="es-ES"/>
              </w:rPr>
              <w:t>Presidida por Iberia, l</w:t>
            </w:r>
            <w:bookmarkStart w:id="0" w:name="_GoBack"/>
            <w:bookmarkEnd w:id="0"/>
            <w:r w:rsidR="00234511" w:rsidRPr="00234511">
              <w:rPr>
                <w:rFonts w:eastAsia="Times New Roman" w:cstheme="minorHAnsi"/>
                <w:sz w:val="24"/>
                <w:szCs w:val="24"/>
                <w:lang w:eastAsia="es-ES"/>
              </w:rPr>
              <w:t>a Comisión se ha constituido como un foro de debate y reflexión sobre el modelo turístico español que permita a la Cámara de España conocer las necesidades e inquietudes del sector para así poder transmitir a las Administraciones Públicas las cuestiones más relevantes que permitan asegurar su competitividad futura. Los trabajos de la Comisión se centran en el análisis y la propuesta de mejora de ámbitos como el proceso de concesión de visados a turistas, la política de promoción turística, la innovación del sector o la diversificación, con el objetivo de atraer un turismo de calidad, de forma que este sea uno de los elementos esenciales del modelo turístico vigente en España.</w:t>
            </w:r>
          </w:p>
          <w:p w:rsidR="0050439D" w:rsidRDefault="0050439D" w:rsidP="0050439D">
            <w:pPr>
              <w:jc w:val="both"/>
              <w:rPr>
                <w:rFonts w:eastAsia="Times New Roman" w:cstheme="minorHAnsi"/>
                <w:sz w:val="24"/>
                <w:szCs w:val="24"/>
                <w:lang w:eastAsia="es-ES"/>
              </w:rPr>
            </w:pPr>
          </w:p>
          <w:p w:rsidR="00D12DF5" w:rsidRPr="00234511" w:rsidRDefault="00D12DF5" w:rsidP="00D12DF5">
            <w:pPr>
              <w:jc w:val="both"/>
              <w:rPr>
                <w:rFonts w:eastAsia="Times New Roman" w:cstheme="minorHAnsi"/>
                <w:sz w:val="24"/>
                <w:szCs w:val="24"/>
                <w:lang w:eastAsia="es-ES"/>
              </w:rPr>
            </w:pPr>
            <w:r>
              <w:rPr>
                <w:rFonts w:eastAsia="Times New Roman" w:cstheme="minorHAnsi"/>
                <w:sz w:val="24"/>
                <w:szCs w:val="24"/>
                <w:lang w:eastAsia="es-ES"/>
              </w:rPr>
              <w:t xml:space="preserve">Los integrantes de la Comisión de Turismo son: Acciona, AENA, </w:t>
            </w:r>
            <w:proofErr w:type="spellStart"/>
            <w:r>
              <w:rPr>
                <w:rFonts w:eastAsia="Times New Roman" w:cstheme="minorHAnsi"/>
                <w:sz w:val="24"/>
                <w:szCs w:val="24"/>
                <w:lang w:eastAsia="es-ES"/>
              </w:rPr>
              <w:t>Areas</w:t>
            </w:r>
            <w:proofErr w:type="spellEnd"/>
            <w:r>
              <w:rPr>
                <w:rFonts w:eastAsia="Times New Roman" w:cstheme="minorHAnsi"/>
                <w:sz w:val="24"/>
                <w:szCs w:val="24"/>
                <w:lang w:eastAsia="es-ES"/>
              </w:rPr>
              <w:t xml:space="preserve">, la Asociación Española de </w:t>
            </w:r>
            <w:proofErr w:type="spellStart"/>
            <w:r>
              <w:rPr>
                <w:rFonts w:eastAsia="Times New Roman" w:cstheme="minorHAnsi"/>
                <w:sz w:val="24"/>
                <w:szCs w:val="24"/>
                <w:lang w:eastAsia="es-ES"/>
              </w:rPr>
              <w:t>Enoturismo</w:t>
            </w:r>
            <w:proofErr w:type="spellEnd"/>
            <w:r>
              <w:rPr>
                <w:rFonts w:eastAsia="Times New Roman" w:cstheme="minorHAnsi"/>
                <w:sz w:val="24"/>
                <w:szCs w:val="24"/>
                <w:lang w:eastAsia="es-ES"/>
              </w:rPr>
              <w:t xml:space="preserve">, Banco Sabadell, </w:t>
            </w:r>
            <w:proofErr w:type="spellStart"/>
            <w:r>
              <w:rPr>
                <w:rFonts w:eastAsia="Times New Roman" w:cstheme="minorHAnsi"/>
                <w:sz w:val="24"/>
                <w:szCs w:val="24"/>
                <w:lang w:eastAsia="es-ES"/>
              </w:rPr>
              <w:t>Bankia</w:t>
            </w:r>
            <w:proofErr w:type="spellEnd"/>
            <w:r>
              <w:rPr>
                <w:rFonts w:eastAsia="Times New Roman" w:cstheme="minorHAnsi"/>
                <w:sz w:val="24"/>
                <w:szCs w:val="24"/>
                <w:lang w:eastAsia="es-ES"/>
              </w:rPr>
              <w:t xml:space="preserve">, </w:t>
            </w:r>
            <w:proofErr w:type="spellStart"/>
            <w:r>
              <w:rPr>
                <w:rFonts w:eastAsia="Times New Roman" w:cstheme="minorHAnsi"/>
                <w:sz w:val="24"/>
                <w:szCs w:val="24"/>
                <w:lang w:eastAsia="es-ES"/>
              </w:rPr>
              <w:t>CaixaBank</w:t>
            </w:r>
            <w:proofErr w:type="spellEnd"/>
            <w:r>
              <w:rPr>
                <w:rFonts w:eastAsia="Times New Roman" w:cstheme="minorHAnsi"/>
                <w:sz w:val="24"/>
                <w:szCs w:val="24"/>
                <w:lang w:eastAsia="es-ES"/>
              </w:rPr>
              <w:t xml:space="preserve">, las Cámaras de Comercio de Cádiz, Gran Canaria, Santa Cruz de Tenerife y Soria, El Corte Inglés, EY, </w:t>
            </w:r>
            <w:proofErr w:type="spellStart"/>
            <w:r>
              <w:rPr>
                <w:rFonts w:eastAsia="Times New Roman" w:cstheme="minorHAnsi"/>
                <w:sz w:val="24"/>
                <w:szCs w:val="24"/>
                <w:lang w:eastAsia="es-ES"/>
              </w:rPr>
              <w:t>Fira</w:t>
            </w:r>
            <w:proofErr w:type="spellEnd"/>
            <w:r>
              <w:rPr>
                <w:rFonts w:eastAsia="Times New Roman" w:cstheme="minorHAnsi"/>
                <w:sz w:val="24"/>
                <w:szCs w:val="24"/>
                <w:lang w:eastAsia="es-ES"/>
              </w:rPr>
              <w:t xml:space="preserve"> de Barcelona, Global Blue, Grupo Planeta, Hostelería de España, IFEMA, Meliá </w:t>
            </w:r>
            <w:proofErr w:type="spellStart"/>
            <w:r>
              <w:rPr>
                <w:rFonts w:eastAsia="Times New Roman" w:cstheme="minorHAnsi"/>
                <w:sz w:val="24"/>
                <w:szCs w:val="24"/>
                <w:lang w:eastAsia="es-ES"/>
              </w:rPr>
              <w:t>Hotels</w:t>
            </w:r>
            <w:proofErr w:type="spellEnd"/>
            <w:r>
              <w:rPr>
                <w:rFonts w:eastAsia="Times New Roman" w:cstheme="minorHAnsi"/>
                <w:sz w:val="24"/>
                <w:szCs w:val="24"/>
                <w:lang w:eastAsia="es-ES"/>
              </w:rPr>
              <w:t xml:space="preserve"> International, Museo Nacional del Prado, Museo Nacional Thyssen-Bornemisza, Renfe, </w:t>
            </w:r>
            <w:proofErr w:type="spellStart"/>
            <w:r>
              <w:rPr>
                <w:rFonts w:eastAsia="Times New Roman" w:cstheme="minorHAnsi"/>
                <w:sz w:val="24"/>
                <w:szCs w:val="24"/>
                <w:lang w:eastAsia="es-ES"/>
              </w:rPr>
              <w:t>Riu</w:t>
            </w:r>
            <w:proofErr w:type="spellEnd"/>
            <w:r>
              <w:rPr>
                <w:rFonts w:eastAsia="Times New Roman" w:cstheme="minorHAnsi"/>
                <w:sz w:val="24"/>
                <w:szCs w:val="24"/>
                <w:lang w:eastAsia="es-ES"/>
              </w:rPr>
              <w:t xml:space="preserve">, </w:t>
            </w:r>
            <w:proofErr w:type="spellStart"/>
            <w:r>
              <w:rPr>
                <w:rFonts w:eastAsia="Times New Roman" w:cstheme="minorHAnsi"/>
                <w:sz w:val="24"/>
                <w:szCs w:val="24"/>
                <w:lang w:eastAsia="es-ES"/>
              </w:rPr>
              <w:t>Turespaña</w:t>
            </w:r>
            <w:proofErr w:type="spellEnd"/>
            <w:r>
              <w:rPr>
                <w:rFonts w:eastAsia="Times New Roman" w:cstheme="minorHAnsi"/>
                <w:sz w:val="24"/>
                <w:szCs w:val="24"/>
                <w:lang w:eastAsia="es-ES"/>
              </w:rPr>
              <w:t xml:space="preserve"> y los ministerios de Asuntos Exteriores, Unión Europea y Cooperación e Industria, Comercio y Turismo.  </w:t>
            </w:r>
          </w:p>
          <w:p w:rsidR="00D12DF5" w:rsidRPr="00234511" w:rsidRDefault="00D12DF5" w:rsidP="0050439D">
            <w:pPr>
              <w:jc w:val="both"/>
              <w:rPr>
                <w:rFonts w:eastAsia="Times New Roman" w:cstheme="minorHAnsi"/>
                <w:sz w:val="24"/>
                <w:szCs w:val="24"/>
                <w:lang w:eastAsia="es-ES"/>
              </w:rPr>
            </w:pPr>
          </w:p>
          <w:p w:rsidR="00F85234" w:rsidRPr="00F85234" w:rsidRDefault="00F85234" w:rsidP="00F85234">
            <w:pPr>
              <w:jc w:val="both"/>
              <w:rPr>
                <w:sz w:val="28"/>
                <w:szCs w:val="26"/>
              </w:rPr>
            </w:pPr>
          </w:p>
          <w:tbl>
            <w:tblPr>
              <w:tblW w:w="0" w:type="auto"/>
              <w:tblCellSpacing w:w="22" w:type="dxa"/>
              <w:tblLayout w:type="fixed"/>
              <w:tblCellMar>
                <w:left w:w="0" w:type="dxa"/>
                <w:right w:w="0" w:type="dxa"/>
              </w:tblCellMar>
              <w:tblLook w:val="04A0" w:firstRow="1" w:lastRow="0" w:firstColumn="1" w:lastColumn="0" w:noHBand="0" w:noVBand="1"/>
            </w:tblPr>
            <w:tblGrid>
              <w:gridCol w:w="1732"/>
              <w:gridCol w:w="64"/>
              <w:gridCol w:w="3224"/>
            </w:tblGrid>
            <w:tr w:rsidR="00367238" w:rsidTr="00B56473">
              <w:trPr>
                <w:tblCellSpacing w:w="22" w:type="dxa"/>
              </w:trPr>
              <w:tc>
                <w:tcPr>
                  <w:tcW w:w="1666" w:type="dxa"/>
                  <w:vAlign w:val="center"/>
                  <w:hideMark/>
                </w:tcPr>
                <w:p w:rsidR="00367238" w:rsidRDefault="00B56473" w:rsidP="00367238">
                  <w:pPr>
                    <w:jc w:val="center"/>
                    <w:rPr>
                      <w:rFonts w:ascii="Calibri" w:hAnsi="Calibri"/>
                      <w:color w:val="1F497D"/>
                      <w:sz w:val="20"/>
                      <w:szCs w:val="20"/>
                    </w:rPr>
                  </w:pPr>
                  <w:r>
                    <w:rPr>
                      <w:rFonts w:ascii="Calibri" w:hAnsi="Calibri"/>
                      <w:noProof/>
                      <w:color w:val="1F497D"/>
                      <w:sz w:val="20"/>
                      <w:szCs w:val="20"/>
                      <w:lang w:eastAsia="es-ES"/>
                    </w:rPr>
                    <w:drawing>
                      <wp:inline distT="0" distB="0" distL="0" distR="0">
                        <wp:extent cx="865669" cy="10376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Logo_pequeny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928" cy="1070289"/>
                                </a:xfrm>
                                <a:prstGeom prst="rect">
                                  <a:avLst/>
                                </a:prstGeom>
                              </pic:spPr>
                            </pic:pic>
                          </a:graphicData>
                        </a:graphic>
                      </wp:inline>
                    </w:drawing>
                  </w:r>
                </w:p>
              </w:tc>
              <w:tc>
                <w:tcPr>
                  <w:tcW w:w="20" w:type="dxa"/>
                  <w:vAlign w:val="center"/>
                  <w:hideMark/>
                </w:tcPr>
                <w:p w:rsidR="00367238" w:rsidRDefault="00367238" w:rsidP="00367238">
                  <w:pPr>
                    <w:rPr>
                      <w:rFonts w:ascii="Calibri" w:hAnsi="Calibri"/>
                      <w:color w:val="1F497D"/>
                      <w:sz w:val="20"/>
                      <w:szCs w:val="20"/>
                    </w:rPr>
                  </w:pPr>
                </w:p>
              </w:tc>
              <w:tc>
                <w:tcPr>
                  <w:tcW w:w="3158" w:type="dxa"/>
                  <w:vAlign w:val="center"/>
                </w:tcPr>
                <w:p w:rsidR="00367238" w:rsidRDefault="00367238" w:rsidP="00367238">
                  <w:pPr>
                    <w:rPr>
                      <w:rFonts w:ascii="Calibri" w:hAnsi="Calibri"/>
                      <w:b/>
                      <w:bCs/>
                      <w:color w:val="2E74B5" w:themeColor="accent1" w:themeShade="BF"/>
                      <w:sz w:val="24"/>
                      <w:szCs w:val="20"/>
                    </w:rPr>
                  </w:pPr>
                </w:p>
                <w:p w:rsidR="00367238" w:rsidRDefault="00367238" w:rsidP="00367238">
                  <w:pPr>
                    <w:rPr>
                      <w:rFonts w:ascii="Calibri" w:hAnsi="Calibri"/>
                      <w:color w:val="1F497D"/>
                      <w:sz w:val="24"/>
                      <w:szCs w:val="20"/>
                    </w:rPr>
                  </w:pPr>
                  <w:r>
                    <w:rPr>
                      <w:rFonts w:ascii="Calibri" w:hAnsi="Calibri"/>
                      <w:b/>
                      <w:bCs/>
                      <w:color w:val="2E74B5" w:themeColor="accent1" w:themeShade="BF"/>
                      <w:sz w:val="24"/>
                      <w:szCs w:val="20"/>
                    </w:rPr>
                    <w:t>Más información:</w:t>
                  </w:r>
                  <w:r>
                    <w:rPr>
                      <w:rFonts w:ascii="Calibri" w:hAnsi="Calibri"/>
                      <w:color w:val="2E74B5" w:themeColor="accent1" w:themeShade="BF"/>
                      <w:sz w:val="24"/>
                      <w:szCs w:val="20"/>
                    </w:rPr>
                    <w:br/>
                  </w:r>
                  <w:r>
                    <w:rPr>
                      <w:rFonts w:ascii="Calibri" w:hAnsi="Calibri"/>
                      <w:color w:val="C2002F"/>
                      <w:sz w:val="24"/>
                      <w:szCs w:val="20"/>
                    </w:rPr>
                    <w:t>Cámara de Comercio de España</w:t>
                  </w:r>
                  <w:r>
                    <w:rPr>
                      <w:rFonts w:ascii="Calibri" w:hAnsi="Calibri"/>
                      <w:color w:val="1F497D"/>
                      <w:sz w:val="24"/>
                      <w:szCs w:val="20"/>
                    </w:rPr>
                    <w:br/>
                  </w:r>
                  <w:r>
                    <w:rPr>
                      <w:rFonts w:ascii="Calibri" w:hAnsi="Calibri"/>
                      <w:color w:val="2E74B5" w:themeColor="accent1" w:themeShade="BF"/>
                      <w:sz w:val="24"/>
                      <w:szCs w:val="20"/>
                    </w:rPr>
                    <w:t xml:space="preserve">Comunicación y marketing </w:t>
                  </w:r>
                  <w:r>
                    <w:rPr>
                      <w:rFonts w:ascii="Calibri" w:hAnsi="Calibri"/>
                      <w:color w:val="2E74B5" w:themeColor="accent1" w:themeShade="BF"/>
                      <w:sz w:val="24"/>
                      <w:szCs w:val="20"/>
                    </w:rPr>
                    <w:br/>
                  </w:r>
                  <w:proofErr w:type="spellStart"/>
                  <w:r>
                    <w:rPr>
                      <w:rFonts w:ascii="Calibri" w:hAnsi="Calibri"/>
                      <w:color w:val="2E74B5" w:themeColor="accent1" w:themeShade="BF"/>
                      <w:sz w:val="24"/>
                      <w:szCs w:val="20"/>
                    </w:rPr>
                    <w:t>Tfno</w:t>
                  </w:r>
                  <w:proofErr w:type="spellEnd"/>
                  <w:r>
                    <w:rPr>
                      <w:rFonts w:ascii="Calibri" w:hAnsi="Calibri"/>
                      <w:color w:val="2E74B5" w:themeColor="accent1" w:themeShade="BF"/>
                      <w:sz w:val="24"/>
                      <w:szCs w:val="20"/>
                    </w:rPr>
                    <w:t>: 91 590 69 09</w:t>
                  </w:r>
                  <w:r>
                    <w:rPr>
                      <w:rFonts w:ascii="Calibri" w:hAnsi="Calibri"/>
                      <w:color w:val="2E74B5" w:themeColor="accent1" w:themeShade="BF"/>
                      <w:sz w:val="24"/>
                      <w:szCs w:val="20"/>
                    </w:rPr>
                    <w:br/>
                    <w:t xml:space="preserve">C/ Ribera del Loira, 12                 28042 - Madrid </w:t>
                  </w:r>
                  <w:r>
                    <w:rPr>
                      <w:rFonts w:ascii="Calibri" w:hAnsi="Calibri"/>
                      <w:color w:val="2E74B5" w:themeColor="accent1" w:themeShade="BF"/>
                      <w:sz w:val="24"/>
                      <w:szCs w:val="20"/>
                    </w:rPr>
                    <w:br/>
                  </w:r>
                </w:p>
              </w:tc>
            </w:tr>
          </w:tbl>
          <w:p w:rsidR="00367238" w:rsidRDefault="00367238" w:rsidP="00367238"/>
          <w:p w:rsidR="00367238" w:rsidRDefault="00367238" w:rsidP="00367238">
            <w:pPr>
              <w:rPr>
                <w:sz w:val="24"/>
                <w:szCs w:val="24"/>
              </w:rPr>
            </w:pPr>
          </w:p>
          <w:p w:rsidR="00367238" w:rsidRDefault="00367238" w:rsidP="00367238">
            <w:pPr>
              <w:rPr>
                <w:sz w:val="24"/>
                <w:szCs w:val="24"/>
              </w:rPr>
            </w:pPr>
          </w:p>
          <w:p w:rsidR="00367238" w:rsidRDefault="00367238" w:rsidP="00367238">
            <w:pPr>
              <w:rPr>
                <w:sz w:val="24"/>
                <w:szCs w:val="24"/>
              </w:rPr>
            </w:pPr>
          </w:p>
          <w:p w:rsidR="00367238" w:rsidRDefault="00367238" w:rsidP="00266B0C">
            <w:pPr>
              <w:rPr>
                <w:sz w:val="24"/>
                <w:szCs w:val="24"/>
              </w:rPr>
            </w:pPr>
            <w:r>
              <w:rPr>
                <w:sz w:val="24"/>
                <w:szCs w:val="24"/>
              </w:rPr>
              <w:t>Síguenos en:</w:t>
            </w:r>
          </w:p>
          <w:p w:rsidR="00F85234" w:rsidRDefault="00F85234" w:rsidP="00266B0C">
            <w:pPr>
              <w:rPr>
                <w:sz w:val="24"/>
                <w:szCs w:val="24"/>
              </w:rPr>
            </w:pPr>
          </w:p>
          <w:p w:rsidR="00F85234" w:rsidRPr="00827261" w:rsidRDefault="00F85234" w:rsidP="00266B0C">
            <w:pPr>
              <w:rPr>
                <w:sz w:val="24"/>
                <w:szCs w:val="26"/>
              </w:rPr>
            </w:pPr>
          </w:p>
          <w:p w:rsidR="00170639" w:rsidRDefault="00F85234" w:rsidP="00DF20EA">
            <w:pPr>
              <w:jc w:val="both"/>
              <w:rPr>
                <w:b/>
                <w:sz w:val="24"/>
                <w:szCs w:val="24"/>
              </w:rPr>
            </w:pPr>
            <w:r w:rsidRPr="000B34D7">
              <w:rPr>
                <w:noProof/>
                <w:lang w:eastAsia="es-ES"/>
              </w:rPr>
              <w:lastRenderedPageBreak/>
              <w:drawing>
                <wp:inline distT="0" distB="0" distL="0" distR="0" wp14:anchorId="7769A586" wp14:editId="2AFFF686">
                  <wp:extent cx="457200" cy="457200"/>
                  <wp:effectExtent l="0" t="0" r="0" b="0"/>
                  <wp:docPr id="6" name="Imagen 6"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B34D7">
              <w:rPr>
                <w:noProof/>
                <w:lang w:eastAsia="es-ES"/>
              </w:rPr>
              <w:drawing>
                <wp:inline distT="0" distB="0" distL="0" distR="0" wp14:anchorId="7D88C9F6" wp14:editId="03B8D430">
                  <wp:extent cx="457200" cy="457200"/>
                  <wp:effectExtent l="0" t="0" r="0" b="0"/>
                  <wp:docPr id="5" name="Imagen 5"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B34D7">
              <w:rPr>
                <w:noProof/>
                <w:lang w:eastAsia="es-ES"/>
              </w:rPr>
              <w:drawing>
                <wp:inline distT="0" distB="0" distL="0" distR="0" wp14:anchorId="7805A716" wp14:editId="0BE7FF4A">
                  <wp:extent cx="457200" cy="457200"/>
                  <wp:effectExtent l="0" t="0" r="0" b="0"/>
                  <wp:docPr id="4" name="Imagen 4" descr="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B34D7">
              <w:rPr>
                <w:noProof/>
                <w:lang w:eastAsia="es-ES"/>
              </w:rPr>
              <w:drawing>
                <wp:inline distT="0" distB="0" distL="0" distR="0" wp14:anchorId="5BB0AC21" wp14:editId="23C847D4">
                  <wp:extent cx="457200" cy="457200"/>
                  <wp:effectExtent l="0" t="0" r="0" b="0"/>
                  <wp:docPr id="7" name="Imagen 7" descr="YouTub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B34D7">
              <w:rPr>
                <w:noProof/>
                <w:lang w:eastAsia="es-ES"/>
              </w:rPr>
              <w:drawing>
                <wp:inline distT="0" distB="0" distL="0" distR="0" wp14:anchorId="7B25C293" wp14:editId="72A67E3B">
                  <wp:extent cx="457200" cy="457200"/>
                  <wp:effectExtent l="0" t="0" r="0" b="0"/>
                  <wp:docPr id="2" name="Imagen 2" descr="Websit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B34D7">
              <w:rPr>
                <w:noProof/>
                <w:lang w:eastAsia="es-ES"/>
              </w:rPr>
              <w:drawing>
                <wp:inline distT="0" distB="0" distL="0" distR="0" wp14:anchorId="0060D85B" wp14:editId="1E58DE32">
                  <wp:extent cx="457200" cy="457200"/>
                  <wp:effectExtent l="0" t="0" r="0" b="0"/>
                  <wp:docPr id="8" name="Imagen 8" descr="RS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F85234" w:rsidTr="00CD273D">
        <w:trPr>
          <w:trHeight w:val="9410"/>
        </w:trPr>
        <w:tc>
          <w:tcPr>
            <w:tcW w:w="1134" w:type="dxa"/>
            <w:tcBorders>
              <w:top w:val="nil"/>
              <w:left w:val="nil"/>
              <w:bottom w:val="nil"/>
              <w:right w:val="nil"/>
            </w:tcBorders>
          </w:tcPr>
          <w:p w:rsidR="00F85234" w:rsidRDefault="00F85234" w:rsidP="00DF20EA">
            <w:pPr>
              <w:jc w:val="both"/>
              <w:rPr>
                <w:b/>
                <w:sz w:val="24"/>
                <w:szCs w:val="24"/>
              </w:rPr>
            </w:pPr>
          </w:p>
        </w:tc>
        <w:tc>
          <w:tcPr>
            <w:tcW w:w="8931" w:type="dxa"/>
            <w:tcBorders>
              <w:top w:val="nil"/>
              <w:left w:val="nil"/>
              <w:bottom w:val="nil"/>
              <w:right w:val="nil"/>
            </w:tcBorders>
          </w:tcPr>
          <w:p w:rsidR="00F85234" w:rsidRPr="008206F5" w:rsidRDefault="00F85234" w:rsidP="00BE34F7">
            <w:pPr>
              <w:ind w:right="567"/>
              <w:jc w:val="both"/>
              <w:rPr>
                <w:b/>
                <w:sz w:val="10"/>
                <w:szCs w:val="10"/>
              </w:rPr>
            </w:pPr>
          </w:p>
        </w:tc>
      </w:tr>
    </w:tbl>
    <w:tbl>
      <w:tblPr>
        <w:tblW w:w="0" w:type="auto"/>
        <w:jc w:val="center"/>
        <w:tblCellMar>
          <w:left w:w="0" w:type="dxa"/>
          <w:right w:w="0" w:type="dxa"/>
        </w:tblCellMar>
        <w:tblLook w:val="04A0" w:firstRow="1" w:lastRow="0" w:firstColumn="1" w:lastColumn="0" w:noHBand="0" w:noVBand="1"/>
      </w:tblPr>
      <w:tblGrid>
        <w:gridCol w:w="786"/>
      </w:tblGrid>
      <w:tr w:rsidR="00266B0C" w:rsidRPr="000B34D7" w:rsidTr="008D6C82">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56"/>
              <w:gridCol w:w="156"/>
              <w:gridCol w:w="156"/>
              <w:gridCol w:w="156"/>
              <w:gridCol w:w="156"/>
              <w:gridCol w:w="6"/>
            </w:tblGrid>
            <w:tr w:rsidR="00266B0C" w:rsidRPr="000B34D7" w:rsidTr="008D6C82">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266B0C" w:rsidRPr="000B34D7" w:rsidTr="008D6C82">
                    <w:tc>
                      <w:tcPr>
                        <w:tcW w:w="0" w:type="auto"/>
                        <w:tcMar>
                          <w:top w:w="0" w:type="dxa"/>
                          <w:left w:w="0" w:type="dxa"/>
                          <w:bottom w:w="135" w:type="dxa"/>
                          <w:right w:w="150" w:type="dxa"/>
                        </w:tcMar>
                        <w:hideMark/>
                      </w:tcPr>
                      <w:p w:rsidR="00266B0C" w:rsidRPr="000B34D7" w:rsidRDefault="00266B0C" w:rsidP="008D6C82"/>
                    </w:tc>
                  </w:tr>
                </w:tbl>
                <w:p w:rsidR="00266B0C" w:rsidRPr="000B34D7" w:rsidRDefault="00266B0C" w:rsidP="008D6C82"/>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266B0C" w:rsidRPr="000B34D7" w:rsidTr="008D6C82">
                    <w:tc>
                      <w:tcPr>
                        <w:tcW w:w="0" w:type="auto"/>
                        <w:tcMar>
                          <w:top w:w="0" w:type="dxa"/>
                          <w:left w:w="0" w:type="dxa"/>
                          <w:bottom w:w="135" w:type="dxa"/>
                          <w:right w:w="150" w:type="dxa"/>
                        </w:tcMar>
                        <w:hideMark/>
                      </w:tcPr>
                      <w:p w:rsidR="00266B0C" w:rsidRPr="000B34D7" w:rsidRDefault="00266B0C" w:rsidP="008D6C82"/>
                    </w:tc>
                  </w:tr>
                </w:tbl>
                <w:p w:rsidR="00266B0C" w:rsidRPr="000B34D7" w:rsidRDefault="00266B0C" w:rsidP="008D6C82"/>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266B0C" w:rsidRPr="000B34D7" w:rsidTr="008D6C82">
                    <w:tc>
                      <w:tcPr>
                        <w:tcW w:w="0" w:type="auto"/>
                        <w:tcMar>
                          <w:top w:w="0" w:type="dxa"/>
                          <w:left w:w="0" w:type="dxa"/>
                          <w:bottom w:w="135" w:type="dxa"/>
                          <w:right w:w="150" w:type="dxa"/>
                        </w:tcMar>
                        <w:hideMark/>
                      </w:tcPr>
                      <w:p w:rsidR="00266B0C" w:rsidRPr="000B34D7" w:rsidRDefault="00266B0C" w:rsidP="008D6C82"/>
                    </w:tc>
                  </w:tr>
                </w:tbl>
                <w:p w:rsidR="00266B0C" w:rsidRPr="000B34D7" w:rsidRDefault="00266B0C" w:rsidP="008D6C82"/>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266B0C" w:rsidRPr="000B34D7" w:rsidTr="008D6C82">
                    <w:tc>
                      <w:tcPr>
                        <w:tcW w:w="0" w:type="auto"/>
                        <w:tcMar>
                          <w:top w:w="0" w:type="dxa"/>
                          <w:left w:w="0" w:type="dxa"/>
                          <w:bottom w:w="135" w:type="dxa"/>
                          <w:right w:w="150" w:type="dxa"/>
                        </w:tcMar>
                        <w:hideMark/>
                      </w:tcPr>
                      <w:p w:rsidR="00266B0C" w:rsidRPr="000B34D7" w:rsidRDefault="00266B0C" w:rsidP="008D6C82"/>
                    </w:tc>
                  </w:tr>
                </w:tbl>
                <w:p w:rsidR="00266B0C" w:rsidRPr="000B34D7" w:rsidRDefault="00266B0C" w:rsidP="008D6C82"/>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266B0C" w:rsidRPr="000B34D7" w:rsidTr="008D6C82">
                    <w:tc>
                      <w:tcPr>
                        <w:tcW w:w="0" w:type="auto"/>
                        <w:tcMar>
                          <w:top w:w="0" w:type="dxa"/>
                          <w:left w:w="0" w:type="dxa"/>
                          <w:bottom w:w="135" w:type="dxa"/>
                          <w:right w:w="150" w:type="dxa"/>
                        </w:tcMar>
                        <w:hideMark/>
                      </w:tcPr>
                      <w:p w:rsidR="00266B0C" w:rsidRPr="000B34D7" w:rsidRDefault="00266B0C" w:rsidP="008D6C82"/>
                    </w:tc>
                  </w:tr>
                </w:tbl>
                <w:p w:rsidR="00266B0C" w:rsidRPr="000B34D7" w:rsidRDefault="00266B0C" w:rsidP="008D6C82"/>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266B0C" w:rsidRPr="000B34D7" w:rsidTr="008D6C82">
                    <w:tc>
                      <w:tcPr>
                        <w:tcW w:w="0" w:type="auto"/>
                        <w:tcMar>
                          <w:top w:w="0" w:type="dxa"/>
                          <w:left w:w="0" w:type="dxa"/>
                          <w:bottom w:w="135" w:type="dxa"/>
                          <w:right w:w="0" w:type="dxa"/>
                        </w:tcMar>
                        <w:hideMark/>
                      </w:tcPr>
                      <w:p w:rsidR="00266B0C" w:rsidRPr="000B34D7" w:rsidRDefault="00266B0C" w:rsidP="008D6C82">
                        <w:pPr>
                          <w:ind w:right="-15"/>
                        </w:pPr>
                      </w:p>
                    </w:tc>
                  </w:tr>
                </w:tbl>
                <w:p w:rsidR="00266B0C" w:rsidRPr="000B34D7" w:rsidRDefault="00266B0C" w:rsidP="008D6C82"/>
              </w:tc>
            </w:tr>
          </w:tbl>
          <w:p w:rsidR="00266B0C" w:rsidRPr="000B34D7" w:rsidRDefault="00266B0C" w:rsidP="008D6C82"/>
        </w:tc>
      </w:tr>
    </w:tbl>
    <w:tbl>
      <w:tblPr>
        <w:tblStyle w:val="Tablaconcuadrcula"/>
        <w:tblW w:w="10348" w:type="dxa"/>
        <w:tblLayout w:type="fixed"/>
        <w:tblLook w:val="04A0" w:firstRow="1" w:lastRow="0" w:firstColumn="1" w:lastColumn="0" w:noHBand="0" w:noVBand="1"/>
      </w:tblPr>
      <w:tblGrid>
        <w:gridCol w:w="1134"/>
        <w:gridCol w:w="9214"/>
      </w:tblGrid>
      <w:tr w:rsidR="00DA31EE" w:rsidTr="0019083A">
        <w:tc>
          <w:tcPr>
            <w:tcW w:w="1134" w:type="dxa"/>
            <w:tcBorders>
              <w:top w:val="nil"/>
              <w:left w:val="nil"/>
              <w:bottom w:val="nil"/>
              <w:right w:val="nil"/>
            </w:tcBorders>
          </w:tcPr>
          <w:p w:rsidR="00DA31EE" w:rsidRDefault="00DA31EE" w:rsidP="00DF20EA">
            <w:pPr>
              <w:jc w:val="both"/>
              <w:rPr>
                <w:b/>
                <w:sz w:val="24"/>
                <w:szCs w:val="24"/>
              </w:rPr>
            </w:pPr>
          </w:p>
        </w:tc>
        <w:tc>
          <w:tcPr>
            <w:tcW w:w="9214" w:type="dxa"/>
            <w:tcBorders>
              <w:top w:val="nil"/>
              <w:left w:val="nil"/>
              <w:bottom w:val="nil"/>
              <w:right w:val="nil"/>
            </w:tcBorders>
          </w:tcPr>
          <w:p w:rsidR="00DA31EE" w:rsidRPr="008206F5" w:rsidRDefault="00DA31EE" w:rsidP="00BE34F7">
            <w:pPr>
              <w:ind w:right="567"/>
              <w:jc w:val="both"/>
              <w:rPr>
                <w:b/>
                <w:sz w:val="10"/>
                <w:szCs w:val="10"/>
              </w:rPr>
            </w:pPr>
          </w:p>
        </w:tc>
      </w:tr>
    </w:tbl>
    <w:p w:rsidR="00170639" w:rsidRDefault="00170639" w:rsidP="00DF20EA">
      <w:pPr>
        <w:jc w:val="both"/>
        <w:rPr>
          <w:b/>
          <w:sz w:val="24"/>
          <w:szCs w:val="24"/>
        </w:rPr>
      </w:pPr>
    </w:p>
    <w:p w:rsidR="00FA1AD9" w:rsidRDefault="00FA1AD9" w:rsidP="00DF20EA">
      <w:pPr>
        <w:jc w:val="both"/>
        <w:rPr>
          <w:b/>
          <w:sz w:val="24"/>
          <w:szCs w:val="24"/>
        </w:rPr>
      </w:pPr>
    </w:p>
    <w:p w:rsidR="00FA1AD9" w:rsidRPr="00FA1AD9" w:rsidRDefault="00FA1AD9" w:rsidP="00DF20EA">
      <w:pPr>
        <w:jc w:val="both"/>
        <w:rPr>
          <w:b/>
          <w:color w:val="9CC2E5" w:themeColor="accent1" w:themeTint="99"/>
          <w:sz w:val="96"/>
          <w:szCs w:val="96"/>
          <w:u w:val="single"/>
        </w:rPr>
      </w:pPr>
    </w:p>
    <w:sectPr w:rsidR="00FA1AD9" w:rsidRPr="00FA1AD9" w:rsidSect="0019083A">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44" w:rsidRDefault="00A71C44" w:rsidP="00100366">
      <w:pPr>
        <w:spacing w:after="0" w:line="240" w:lineRule="auto"/>
      </w:pPr>
      <w:r>
        <w:separator/>
      </w:r>
    </w:p>
  </w:endnote>
  <w:endnote w:type="continuationSeparator" w:id="0">
    <w:p w:rsidR="00A71C44" w:rsidRDefault="00A71C44" w:rsidP="001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44" w:rsidRDefault="00A71C44" w:rsidP="00100366">
      <w:pPr>
        <w:spacing w:after="0" w:line="240" w:lineRule="auto"/>
      </w:pPr>
      <w:r>
        <w:separator/>
      </w:r>
    </w:p>
  </w:footnote>
  <w:footnote w:type="continuationSeparator" w:id="0">
    <w:p w:rsidR="00A71C44" w:rsidRDefault="00A71C44" w:rsidP="0010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Layout w:type="fixed"/>
      <w:tblLook w:val="04A0" w:firstRow="1" w:lastRow="0" w:firstColumn="1" w:lastColumn="0" w:noHBand="0" w:noVBand="1"/>
    </w:tblPr>
    <w:tblGrid>
      <w:gridCol w:w="10348"/>
    </w:tblGrid>
    <w:tr w:rsidR="008206F5" w:rsidTr="00AA3B44">
      <w:trPr>
        <w:trHeight w:val="272"/>
      </w:trPr>
      <w:tc>
        <w:tcPr>
          <w:tcW w:w="10348" w:type="dxa"/>
          <w:tcBorders>
            <w:top w:val="nil"/>
            <w:left w:val="nil"/>
            <w:bottom w:val="nil"/>
            <w:right w:val="nil"/>
          </w:tcBorders>
        </w:tcPr>
        <w:p w:rsidR="008206F5" w:rsidRDefault="00127544" w:rsidP="008206F5">
          <w:pPr>
            <w:pStyle w:val="Encabezado"/>
            <w:tabs>
              <w:tab w:val="left" w:pos="1170"/>
              <w:tab w:val="center" w:pos="5066"/>
            </w:tabs>
          </w:pPr>
          <w:r>
            <w:rPr>
              <w:noProof/>
              <w:sz w:val="24"/>
              <w:szCs w:val="24"/>
              <w:lang w:eastAsia="es-ES"/>
            </w:rPr>
            <w:t xml:space="preserve">             </w:t>
          </w:r>
          <w:r w:rsidR="003531D1">
            <w:rPr>
              <w:noProof/>
              <w:lang w:eastAsia="es-ES"/>
            </w:rPr>
            <w:t xml:space="preserve">     </w:t>
          </w:r>
          <w:r>
            <w:rPr>
              <w:noProof/>
              <w:lang w:eastAsia="es-ES"/>
            </w:rPr>
            <w:t xml:space="preserve">                                                      </w:t>
          </w:r>
          <w:r w:rsidR="005B5480">
            <w:rPr>
              <w:noProof/>
              <w:lang w:eastAsia="es-ES"/>
            </w:rPr>
            <w:t xml:space="preserve">                                                                 </w:t>
          </w:r>
          <w:r>
            <w:rPr>
              <w:noProof/>
              <w:lang w:eastAsia="es-ES"/>
            </w:rPr>
            <w:t xml:space="preserve">   </w:t>
          </w:r>
          <w:r w:rsidR="003531D1">
            <w:rPr>
              <w:noProof/>
              <w:lang w:eastAsia="es-ES"/>
            </w:rPr>
            <w:t xml:space="preserve">       </w:t>
          </w:r>
          <w:r w:rsidR="003E53C0">
            <w:rPr>
              <w:noProof/>
              <w:lang w:eastAsia="es-ES"/>
            </w:rPr>
            <w:drawing>
              <wp:inline distT="0" distB="0" distL="0" distR="0">
                <wp:extent cx="1666875" cy="512885"/>
                <wp:effectExtent l="0" t="0" r="0" b="1905"/>
                <wp:docPr id="3"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ara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375" cy="518270"/>
                        </a:xfrm>
                        <a:prstGeom prst="rect">
                          <a:avLst/>
                        </a:prstGeom>
                        <a:noFill/>
                        <a:ln>
                          <a:noFill/>
                        </a:ln>
                      </pic:spPr>
                    </pic:pic>
                  </a:graphicData>
                </a:graphic>
              </wp:inline>
            </w:drawing>
          </w:r>
          <w:r w:rsidR="003531D1">
            <w:rPr>
              <w:noProof/>
              <w:lang w:eastAsia="es-ES"/>
            </w:rPr>
            <w:t xml:space="preserve">                                                                           </w:t>
          </w:r>
        </w:p>
        <w:p w:rsidR="008206F5" w:rsidRDefault="008206F5" w:rsidP="008206F5">
          <w:pPr>
            <w:jc w:val="both"/>
            <w:rPr>
              <w:b/>
              <w:sz w:val="24"/>
              <w:szCs w:val="24"/>
            </w:rPr>
          </w:pPr>
        </w:p>
      </w:tc>
    </w:tr>
  </w:tbl>
  <w:p w:rsidR="008206F5" w:rsidRDefault="008206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CC"/>
    <w:multiLevelType w:val="hybridMultilevel"/>
    <w:tmpl w:val="2ED2B9BA"/>
    <w:lvl w:ilvl="0" w:tplc="398E7A5A">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96C38"/>
    <w:multiLevelType w:val="hybridMultilevel"/>
    <w:tmpl w:val="D42C4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856F6A"/>
    <w:multiLevelType w:val="hybridMultilevel"/>
    <w:tmpl w:val="0922A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E051CB"/>
    <w:multiLevelType w:val="hybridMultilevel"/>
    <w:tmpl w:val="5A12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1248CF"/>
    <w:multiLevelType w:val="hybridMultilevel"/>
    <w:tmpl w:val="D8C49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8E4423"/>
    <w:multiLevelType w:val="hybridMultilevel"/>
    <w:tmpl w:val="3B28C4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3F2326A"/>
    <w:multiLevelType w:val="hybridMultilevel"/>
    <w:tmpl w:val="0290BD92"/>
    <w:lvl w:ilvl="0" w:tplc="486A745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8F4AA2"/>
    <w:multiLevelType w:val="hybridMultilevel"/>
    <w:tmpl w:val="BFBC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9B1CDB"/>
    <w:multiLevelType w:val="hybridMultilevel"/>
    <w:tmpl w:val="95D45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B"/>
    <w:rsid w:val="000053C7"/>
    <w:rsid w:val="000126A2"/>
    <w:rsid w:val="000275F5"/>
    <w:rsid w:val="0003518E"/>
    <w:rsid w:val="000370C1"/>
    <w:rsid w:val="00087AF9"/>
    <w:rsid w:val="00091C88"/>
    <w:rsid w:val="00096150"/>
    <w:rsid w:val="000D22CA"/>
    <w:rsid w:val="00100366"/>
    <w:rsid w:val="0011258A"/>
    <w:rsid w:val="00116C70"/>
    <w:rsid w:val="0012176A"/>
    <w:rsid w:val="00127544"/>
    <w:rsid w:val="00155F11"/>
    <w:rsid w:val="00170639"/>
    <w:rsid w:val="001741FF"/>
    <w:rsid w:val="0019083A"/>
    <w:rsid w:val="001C7816"/>
    <w:rsid w:val="001F3C7B"/>
    <w:rsid w:val="001F604A"/>
    <w:rsid w:val="0020129E"/>
    <w:rsid w:val="00215599"/>
    <w:rsid w:val="002169EA"/>
    <w:rsid w:val="002256E3"/>
    <w:rsid w:val="00234511"/>
    <w:rsid w:val="0024107F"/>
    <w:rsid w:val="00266B0C"/>
    <w:rsid w:val="00275B73"/>
    <w:rsid w:val="00287731"/>
    <w:rsid w:val="002A2DEA"/>
    <w:rsid w:val="002A43E0"/>
    <w:rsid w:val="002A527E"/>
    <w:rsid w:val="002C76B2"/>
    <w:rsid w:val="002D34D4"/>
    <w:rsid w:val="002E5580"/>
    <w:rsid w:val="002E5863"/>
    <w:rsid w:val="002F426F"/>
    <w:rsid w:val="002F57D1"/>
    <w:rsid w:val="00321855"/>
    <w:rsid w:val="00323C86"/>
    <w:rsid w:val="003531D1"/>
    <w:rsid w:val="00356D27"/>
    <w:rsid w:val="003571B6"/>
    <w:rsid w:val="00367238"/>
    <w:rsid w:val="003A51EC"/>
    <w:rsid w:val="003B7117"/>
    <w:rsid w:val="003C27AA"/>
    <w:rsid w:val="003D18BE"/>
    <w:rsid w:val="003E53C0"/>
    <w:rsid w:val="0040244C"/>
    <w:rsid w:val="00443EF8"/>
    <w:rsid w:val="00465D1B"/>
    <w:rsid w:val="004856C3"/>
    <w:rsid w:val="004A3F76"/>
    <w:rsid w:val="004B585E"/>
    <w:rsid w:val="004C4CCD"/>
    <w:rsid w:val="004E3400"/>
    <w:rsid w:val="0050439D"/>
    <w:rsid w:val="00505C75"/>
    <w:rsid w:val="00505F84"/>
    <w:rsid w:val="005320C5"/>
    <w:rsid w:val="00536597"/>
    <w:rsid w:val="005412AC"/>
    <w:rsid w:val="005459DB"/>
    <w:rsid w:val="00546D01"/>
    <w:rsid w:val="00570AE4"/>
    <w:rsid w:val="00580163"/>
    <w:rsid w:val="005A17DB"/>
    <w:rsid w:val="005B4063"/>
    <w:rsid w:val="005B5480"/>
    <w:rsid w:val="005C5F75"/>
    <w:rsid w:val="005D0641"/>
    <w:rsid w:val="00655843"/>
    <w:rsid w:val="00676430"/>
    <w:rsid w:val="006861D0"/>
    <w:rsid w:val="006A577C"/>
    <w:rsid w:val="006B48B6"/>
    <w:rsid w:val="006C5A1B"/>
    <w:rsid w:val="006D0575"/>
    <w:rsid w:val="006D70B3"/>
    <w:rsid w:val="007224F4"/>
    <w:rsid w:val="007250D7"/>
    <w:rsid w:val="00732396"/>
    <w:rsid w:val="00742938"/>
    <w:rsid w:val="0076643E"/>
    <w:rsid w:val="007665D8"/>
    <w:rsid w:val="00770AF4"/>
    <w:rsid w:val="00785C9B"/>
    <w:rsid w:val="00790DB1"/>
    <w:rsid w:val="007E3FFF"/>
    <w:rsid w:val="008206F5"/>
    <w:rsid w:val="00827261"/>
    <w:rsid w:val="00840D60"/>
    <w:rsid w:val="008511AF"/>
    <w:rsid w:val="00854E69"/>
    <w:rsid w:val="008808AF"/>
    <w:rsid w:val="00893449"/>
    <w:rsid w:val="008B55BC"/>
    <w:rsid w:val="008D37B0"/>
    <w:rsid w:val="008E703A"/>
    <w:rsid w:val="008F4312"/>
    <w:rsid w:val="008F5EAA"/>
    <w:rsid w:val="00944622"/>
    <w:rsid w:val="00955182"/>
    <w:rsid w:val="00957D20"/>
    <w:rsid w:val="00971D52"/>
    <w:rsid w:val="00972AC9"/>
    <w:rsid w:val="0099018E"/>
    <w:rsid w:val="009B37C4"/>
    <w:rsid w:val="009B578B"/>
    <w:rsid w:val="009D4733"/>
    <w:rsid w:val="009F3F6A"/>
    <w:rsid w:val="009F4CBE"/>
    <w:rsid w:val="009F65D8"/>
    <w:rsid w:val="00A20CFF"/>
    <w:rsid w:val="00A34776"/>
    <w:rsid w:val="00A3687E"/>
    <w:rsid w:val="00A42DBA"/>
    <w:rsid w:val="00A44EA8"/>
    <w:rsid w:val="00A52224"/>
    <w:rsid w:val="00A62A47"/>
    <w:rsid w:val="00A6793A"/>
    <w:rsid w:val="00A71C44"/>
    <w:rsid w:val="00A80018"/>
    <w:rsid w:val="00A87CE9"/>
    <w:rsid w:val="00A975E4"/>
    <w:rsid w:val="00AA3B44"/>
    <w:rsid w:val="00AC477B"/>
    <w:rsid w:val="00AC6C15"/>
    <w:rsid w:val="00AD47C2"/>
    <w:rsid w:val="00AF2DA5"/>
    <w:rsid w:val="00B057EE"/>
    <w:rsid w:val="00B11BF0"/>
    <w:rsid w:val="00B14E99"/>
    <w:rsid w:val="00B45557"/>
    <w:rsid w:val="00B56473"/>
    <w:rsid w:val="00B56C12"/>
    <w:rsid w:val="00B64441"/>
    <w:rsid w:val="00B83A3E"/>
    <w:rsid w:val="00B84F9A"/>
    <w:rsid w:val="00BA0D3B"/>
    <w:rsid w:val="00BB55D5"/>
    <w:rsid w:val="00BE34F7"/>
    <w:rsid w:val="00C02F56"/>
    <w:rsid w:val="00C34C8B"/>
    <w:rsid w:val="00C367D4"/>
    <w:rsid w:val="00C44538"/>
    <w:rsid w:val="00C45587"/>
    <w:rsid w:val="00C6423B"/>
    <w:rsid w:val="00C81320"/>
    <w:rsid w:val="00C95118"/>
    <w:rsid w:val="00CA18BB"/>
    <w:rsid w:val="00CA417A"/>
    <w:rsid w:val="00CB4C8B"/>
    <w:rsid w:val="00CD273D"/>
    <w:rsid w:val="00CD5060"/>
    <w:rsid w:val="00CF3983"/>
    <w:rsid w:val="00D01E88"/>
    <w:rsid w:val="00D12DF5"/>
    <w:rsid w:val="00D17CA2"/>
    <w:rsid w:val="00D378A1"/>
    <w:rsid w:val="00D54C50"/>
    <w:rsid w:val="00D57B73"/>
    <w:rsid w:val="00D85840"/>
    <w:rsid w:val="00D87104"/>
    <w:rsid w:val="00DA288F"/>
    <w:rsid w:val="00DA31EE"/>
    <w:rsid w:val="00DA7A67"/>
    <w:rsid w:val="00DB0EEA"/>
    <w:rsid w:val="00DB7C1A"/>
    <w:rsid w:val="00DC5C55"/>
    <w:rsid w:val="00DC77F9"/>
    <w:rsid w:val="00DE5ABE"/>
    <w:rsid w:val="00DF20EA"/>
    <w:rsid w:val="00DF2CD5"/>
    <w:rsid w:val="00E0269A"/>
    <w:rsid w:val="00E23E1C"/>
    <w:rsid w:val="00E247E1"/>
    <w:rsid w:val="00E3657F"/>
    <w:rsid w:val="00E5691D"/>
    <w:rsid w:val="00E73A4C"/>
    <w:rsid w:val="00E9051E"/>
    <w:rsid w:val="00EA5D82"/>
    <w:rsid w:val="00EC40B9"/>
    <w:rsid w:val="00ED2404"/>
    <w:rsid w:val="00F01612"/>
    <w:rsid w:val="00F23918"/>
    <w:rsid w:val="00F2785A"/>
    <w:rsid w:val="00F36F2F"/>
    <w:rsid w:val="00F43EDA"/>
    <w:rsid w:val="00F44E6B"/>
    <w:rsid w:val="00F4785B"/>
    <w:rsid w:val="00F51B25"/>
    <w:rsid w:val="00F5374D"/>
    <w:rsid w:val="00F56231"/>
    <w:rsid w:val="00F73160"/>
    <w:rsid w:val="00F85234"/>
    <w:rsid w:val="00FA1AD9"/>
    <w:rsid w:val="00FB0D9B"/>
    <w:rsid w:val="00FE1994"/>
    <w:rsid w:val="00FF6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B960F"/>
  <w15:chartTrackingRefBased/>
  <w15:docId w15:val="{3DC3539C-EF13-4F1A-8F08-1A8A24CB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87AF9"/>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C1A"/>
    <w:pPr>
      <w:ind w:left="720"/>
      <w:contextualSpacing/>
    </w:pPr>
  </w:style>
  <w:style w:type="character" w:styleId="Hipervnculo">
    <w:name w:val="Hyperlink"/>
    <w:basedOn w:val="Fuentedeprrafopredeter"/>
    <w:uiPriority w:val="99"/>
    <w:unhideWhenUsed/>
    <w:rsid w:val="00B11BF0"/>
    <w:rPr>
      <w:color w:val="0563C1" w:themeColor="hyperlink"/>
      <w:u w:val="single"/>
    </w:rPr>
  </w:style>
  <w:style w:type="paragraph" w:styleId="NormalWeb">
    <w:name w:val="Normal (Web)"/>
    <w:basedOn w:val="Normal"/>
    <w:uiPriority w:val="99"/>
    <w:semiHidden/>
    <w:unhideWhenUsed/>
    <w:qFormat/>
    <w:rsid w:val="008F4312"/>
    <w:pPr>
      <w:spacing w:before="100" w:beforeAutospacing="1" w:after="100" w:afterAutospacing="1" w:line="240" w:lineRule="auto"/>
    </w:pPr>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100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366"/>
    <w:rPr>
      <w:rFonts w:ascii="Segoe UI" w:hAnsi="Segoe UI" w:cs="Segoe UI"/>
      <w:sz w:val="18"/>
      <w:szCs w:val="18"/>
    </w:rPr>
  </w:style>
  <w:style w:type="paragraph" w:styleId="Encabezado">
    <w:name w:val="header"/>
    <w:basedOn w:val="Normal"/>
    <w:link w:val="EncabezadoCar"/>
    <w:uiPriority w:val="99"/>
    <w:unhideWhenUsed/>
    <w:rsid w:val="00100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366"/>
  </w:style>
  <w:style w:type="paragraph" w:styleId="Piedepgina">
    <w:name w:val="footer"/>
    <w:basedOn w:val="Normal"/>
    <w:link w:val="PiedepginaCar"/>
    <w:uiPriority w:val="99"/>
    <w:unhideWhenUsed/>
    <w:rsid w:val="001003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366"/>
  </w:style>
  <w:style w:type="character" w:customStyle="1" w:styleId="Ttulo1Car">
    <w:name w:val="Título 1 Car"/>
    <w:basedOn w:val="Fuentedeprrafopredeter"/>
    <w:link w:val="Ttulo1"/>
    <w:uiPriority w:val="9"/>
    <w:rsid w:val="00087AF9"/>
    <w:rPr>
      <w:rFonts w:ascii="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0D22CA"/>
    <w:rPr>
      <w:color w:val="954F72" w:themeColor="followedHyperlink"/>
      <w:u w:val="single"/>
    </w:rPr>
  </w:style>
  <w:style w:type="table" w:styleId="Tablaconcuadrcula">
    <w:name w:val="Table Grid"/>
    <w:basedOn w:val="Tablanormal"/>
    <w:uiPriority w:val="39"/>
    <w:rsid w:val="001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8">
    <w:name w:val="s8"/>
    <w:basedOn w:val="Normal"/>
    <w:rsid w:val="003A51EC"/>
    <w:pPr>
      <w:spacing w:before="100" w:beforeAutospacing="1" w:after="100" w:afterAutospacing="1" w:line="240" w:lineRule="auto"/>
    </w:pPr>
    <w:rPr>
      <w:rFonts w:ascii="Times New Roman" w:hAnsi="Times New Roman" w:cs="Times New Roman"/>
      <w:sz w:val="24"/>
      <w:szCs w:val="24"/>
      <w:lang w:eastAsia="es-ES"/>
    </w:rPr>
  </w:style>
  <w:style w:type="character" w:customStyle="1" w:styleId="s7">
    <w:name w:val="s7"/>
    <w:basedOn w:val="Fuentedeprrafopredeter"/>
    <w:rsid w:val="003A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569">
      <w:bodyDiv w:val="1"/>
      <w:marLeft w:val="0"/>
      <w:marRight w:val="0"/>
      <w:marTop w:val="0"/>
      <w:marBottom w:val="0"/>
      <w:divBdr>
        <w:top w:val="none" w:sz="0" w:space="0" w:color="auto"/>
        <w:left w:val="none" w:sz="0" w:space="0" w:color="auto"/>
        <w:bottom w:val="none" w:sz="0" w:space="0" w:color="auto"/>
        <w:right w:val="none" w:sz="0" w:space="0" w:color="auto"/>
      </w:divBdr>
    </w:div>
    <w:div w:id="154028421">
      <w:bodyDiv w:val="1"/>
      <w:marLeft w:val="0"/>
      <w:marRight w:val="0"/>
      <w:marTop w:val="0"/>
      <w:marBottom w:val="0"/>
      <w:divBdr>
        <w:top w:val="none" w:sz="0" w:space="0" w:color="auto"/>
        <w:left w:val="none" w:sz="0" w:space="0" w:color="auto"/>
        <w:bottom w:val="none" w:sz="0" w:space="0" w:color="auto"/>
        <w:right w:val="none" w:sz="0" w:space="0" w:color="auto"/>
      </w:divBdr>
    </w:div>
    <w:div w:id="399982507">
      <w:bodyDiv w:val="1"/>
      <w:marLeft w:val="0"/>
      <w:marRight w:val="0"/>
      <w:marTop w:val="0"/>
      <w:marBottom w:val="0"/>
      <w:divBdr>
        <w:top w:val="none" w:sz="0" w:space="0" w:color="auto"/>
        <w:left w:val="none" w:sz="0" w:space="0" w:color="auto"/>
        <w:bottom w:val="none" w:sz="0" w:space="0" w:color="auto"/>
        <w:right w:val="none" w:sz="0" w:space="0" w:color="auto"/>
      </w:divBdr>
    </w:div>
    <w:div w:id="516188866">
      <w:bodyDiv w:val="1"/>
      <w:marLeft w:val="0"/>
      <w:marRight w:val="0"/>
      <w:marTop w:val="0"/>
      <w:marBottom w:val="0"/>
      <w:divBdr>
        <w:top w:val="none" w:sz="0" w:space="0" w:color="auto"/>
        <w:left w:val="none" w:sz="0" w:space="0" w:color="auto"/>
        <w:bottom w:val="none" w:sz="0" w:space="0" w:color="auto"/>
        <w:right w:val="none" w:sz="0" w:space="0" w:color="auto"/>
      </w:divBdr>
    </w:div>
    <w:div w:id="709107556">
      <w:bodyDiv w:val="1"/>
      <w:marLeft w:val="0"/>
      <w:marRight w:val="0"/>
      <w:marTop w:val="0"/>
      <w:marBottom w:val="0"/>
      <w:divBdr>
        <w:top w:val="none" w:sz="0" w:space="0" w:color="auto"/>
        <w:left w:val="none" w:sz="0" w:space="0" w:color="auto"/>
        <w:bottom w:val="none" w:sz="0" w:space="0" w:color="auto"/>
        <w:right w:val="none" w:sz="0" w:space="0" w:color="auto"/>
      </w:divBdr>
    </w:div>
    <w:div w:id="1065182757">
      <w:bodyDiv w:val="1"/>
      <w:marLeft w:val="0"/>
      <w:marRight w:val="0"/>
      <w:marTop w:val="0"/>
      <w:marBottom w:val="0"/>
      <w:divBdr>
        <w:top w:val="none" w:sz="0" w:space="0" w:color="auto"/>
        <w:left w:val="none" w:sz="0" w:space="0" w:color="auto"/>
        <w:bottom w:val="none" w:sz="0" w:space="0" w:color="auto"/>
        <w:right w:val="none" w:sz="0" w:space="0" w:color="auto"/>
      </w:divBdr>
    </w:div>
    <w:div w:id="1149904256">
      <w:bodyDiv w:val="1"/>
      <w:marLeft w:val="0"/>
      <w:marRight w:val="0"/>
      <w:marTop w:val="0"/>
      <w:marBottom w:val="0"/>
      <w:divBdr>
        <w:top w:val="none" w:sz="0" w:space="0" w:color="auto"/>
        <w:left w:val="none" w:sz="0" w:space="0" w:color="auto"/>
        <w:bottom w:val="none" w:sz="0" w:space="0" w:color="auto"/>
        <w:right w:val="none" w:sz="0" w:space="0" w:color="auto"/>
      </w:divBdr>
    </w:div>
    <w:div w:id="1472553218">
      <w:bodyDiv w:val="1"/>
      <w:marLeft w:val="0"/>
      <w:marRight w:val="0"/>
      <w:marTop w:val="0"/>
      <w:marBottom w:val="0"/>
      <w:divBdr>
        <w:top w:val="none" w:sz="0" w:space="0" w:color="auto"/>
        <w:left w:val="none" w:sz="0" w:space="0" w:color="auto"/>
        <w:bottom w:val="none" w:sz="0" w:space="0" w:color="auto"/>
        <w:right w:val="none" w:sz="0" w:space="0" w:color="auto"/>
      </w:divBdr>
    </w:div>
    <w:div w:id="1607541176">
      <w:bodyDiv w:val="1"/>
      <w:marLeft w:val="0"/>
      <w:marRight w:val="0"/>
      <w:marTop w:val="0"/>
      <w:marBottom w:val="0"/>
      <w:divBdr>
        <w:top w:val="none" w:sz="0" w:space="0" w:color="auto"/>
        <w:left w:val="none" w:sz="0" w:space="0" w:color="auto"/>
        <w:bottom w:val="none" w:sz="0" w:space="0" w:color="auto"/>
        <w:right w:val="none" w:sz="0" w:space="0" w:color="auto"/>
      </w:divBdr>
    </w:div>
    <w:div w:id="2051568969">
      <w:bodyDiv w:val="1"/>
      <w:marLeft w:val="0"/>
      <w:marRight w:val="0"/>
      <w:marTop w:val="0"/>
      <w:marBottom w:val="0"/>
      <w:divBdr>
        <w:top w:val="none" w:sz="0" w:space="0" w:color="auto"/>
        <w:left w:val="none" w:sz="0" w:space="0" w:color="auto"/>
        <w:bottom w:val="none" w:sz="0" w:space="0" w:color="auto"/>
        <w:right w:val="none" w:sz="0" w:space="0" w:color="auto"/>
      </w:divBdr>
    </w:div>
    <w:div w:id="20729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amara.es/"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facebook.com/camaracomercioesp"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youtube.com/channel/UC2UR2fMfh7T24RZ2xjxvi3g" TargetMode="External"/><Relationship Id="rId20" Type="http://schemas.openxmlformats.org/officeDocument/2006/relationships/hyperlink" Target="https://www.camara.es/feed/term/3/1/f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twitter.com/camarascomercio"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camara-comercio-espan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5931-167D-4D38-BC1F-6CFAF13A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LA. Artiz Cohen</dc:creator>
  <cp:keywords/>
  <dc:description/>
  <cp:lastModifiedBy>Andrés AP. Pereda</cp:lastModifiedBy>
  <cp:revision>4</cp:revision>
  <cp:lastPrinted>2020-03-04T10:41:00Z</cp:lastPrinted>
  <dcterms:created xsi:type="dcterms:W3CDTF">2020-03-04T12:43:00Z</dcterms:created>
  <dcterms:modified xsi:type="dcterms:W3CDTF">2020-03-04T12:58:00Z</dcterms:modified>
</cp:coreProperties>
</file>